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ind w:right="14"/>
        <w:jc w:val="right"/>
        <w:rPr>
          <w:rFonts w:ascii="Book Antiqua" w:hAnsi="Book Antiqua" w:cs="Times New Roman"/>
        </w:rPr>
      </w:pPr>
      <w:r>
        <w:rPr>
          <w:rFonts w:ascii="Book Antiqua" w:hAnsi="Book Antiqua" w:cs="Times New Roman"/>
          <w:noProof/>
          <w:lang w:val="es-MX" w:eastAsia="es-MX" w:bidi="ar-SA"/>
        </w:rPr>
        <w:drawing>
          <wp:inline distT="0" distB="0" distL="0" distR="0" wp14:anchorId="20C0C407">
            <wp:extent cx="865505" cy="8655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898" w:rsidRPr="00647898" w:rsidRDefault="00647898" w:rsidP="00647898">
      <w:pPr>
        <w:pStyle w:val="Textoindependiente"/>
        <w:spacing w:before="6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spacing w:before="92"/>
        <w:ind w:right="14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Mérida, a 2</w:t>
      </w:r>
      <w:r w:rsidR="00C55638">
        <w:rPr>
          <w:rFonts w:ascii="Book Antiqua" w:hAnsi="Book Antiqua" w:cs="Times New Roman"/>
        </w:rPr>
        <w:t>7</w:t>
      </w:r>
      <w:r w:rsidRPr="00647898">
        <w:rPr>
          <w:rFonts w:ascii="Book Antiqua" w:hAnsi="Book Antiqua" w:cs="Times New Roman"/>
        </w:rPr>
        <w:t xml:space="preserve"> de </w:t>
      </w:r>
      <w:proofErr w:type="gramStart"/>
      <w:r w:rsidRPr="00647898">
        <w:rPr>
          <w:rFonts w:ascii="Book Antiqua" w:hAnsi="Book Antiqua" w:cs="Times New Roman"/>
        </w:rPr>
        <w:t>Noviembre</w:t>
      </w:r>
      <w:proofErr w:type="gramEnd"/>
      <w:r w:rsidRPr="00647898">
        <w:rPr>
          <w:rFonts w:ascii="Book Antiqua" w:hAnsi="Book Antiqua" w:cs="Times New Roman"/>
        </w:rPr>
        <w:t xml:space="preserve"> de 2019.</w:t>
      </w: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spacing w:before="92"/>
        <w:ind w:left="0" w:right="14"/>
        <w:jc w:val="left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H. Congreso del Estado de Yucatán:</w:t>
      </w: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  <w:b/>
        </w:rPr>
      </w:pPr>
    </w:p>
    <w:p w:rsidR="00647898" w:rsidRDefault="00647898" w:rsidP="00647898">
      <w:pPr>
        <w:ind w:right="14"/>
        <w:jc w:val="both"/>
        <w:rPr>
          <w:rFonts w:ascii="Book Antiqua" w:hAnsi="Book Antiqua" w:cs="Times New Roman"/>
          <w:sz w:val="24"/>
          <w:szCs w:val="24"/>
        </w:rPr>
      </w:pPr>
      <w:r w:rsidRPr="00647898">
        <w:rPr>
          <w:rFonts w:ascii="Book Antiqua" w:hAnsi="Book Antiqua" w:cs="Times New Roman"/>
          <w:sz w:val="24"/>
          <w:szCs w:val="24"/>
        </w:rPr>
        <w:t xml:space="preserve">Quien suscribe, Diputada </w:t>
      </w:r>
      <w:proofErr w:type="spellStart"/>
      <w:r w:rsidRPr="00647898">
        <w:rPr>
          <w:rFonts w:ascii="Book Antiqua" w:hAnsi="Book Antiqua" w:cs="Times New Roman"/>
          <w:b/>
          <w:sz w:val="24"/>
          <w:szCs w:val="24"/>
        </w:rPr>
        <w:t>Mirthea</w:t>
      </w:r>
      <w:proofErr w:type="spellEnd"/>
      <w:r w:rsidRPr="00647898">
        <w:rPr>
          <w:rFonts w:ascii="Book Antiqua" w:hAnsi="Book Antiqua" w:cs="Times New Roman"/>
          <w:b/>
          <w:sz w:val="24"/>
          <w:szCs w:val="24"/>
        </w:rPr>
        <w:t xml:space="preserve"> del Rosario Arjona Martín </w:t>
      </w:r>
      <w:r w:rsidRPr="00647898">
        <w:rPr>
          <w:rFonts w:ascii="Book Antiqua" w:hAnsi="Book Antiqua" w:cs="Times New Roman"/>
          <w:sz w:val="24"/>
          <w:szCs w:val="24"/>
        </w:rPr>
        <w:t xml:space="preserve">integrante de esta LXII Legislatura del H. Congreso del Estado, con fundamento en la fracción I del artículo 35 de la Constitución Política; artículo 16 y fracción VI del artículo 22 de la Ley de Gobierno del Poder Legislativo, así como los artículos 68 y 69 del Reglamento de la Ley del Poder Legislativo, todos del Estado de Yucatán, someto a consideración de esta Honorable Asamblea la presente iniciativa con proyecto de decreto por el que se </w:t>
      </w:r>
      <w:r w:rsidRPr="00647898">
        <w:rPr>
          <w:rFonts w:ascii="Book Antiqua" w:hAnsi="Book Antiqua" w:cs="Times New Roman"/>
          <w:b/>
          <w:sz w:val="24"/>
          <w:szCs w:val="24"/>
        </w:rPr>
        <w:t xml:space="preserve">Declara al Coso Taurino de </w:t>
      </w:r>
      <w:proofErr w:type="spellStart"/>
      <w:r w:rsidRPr="00647898">
        <w:rPr>
          <w:rFonts w:ascii="Book Antiqua" w:hAnsi="Book Antiqua" w:cs="Times New Roman"/>
          <w:b/>
          <w:sz w:val="24"/>
          <w:szCs w:val="24"/>
        </w:rPr>
        <w:t>Tizimín</w:t>
      </w:r>
      <w:proofErr w:type="spellEnd"/>
      <w:r w:rsidRPr="00647898">
        <w:rPr>
          <w:rFonts w:ascii="Book Antiqua" w:hAnsi="Book Antiqua" w:cs="Times New Roman"/>
          <w:b/>
          <w:sz w:val="24"/>
          <w:szCs w:val="24"/>
        </w:rPr>
        <w:t xml:space="preserve"> Patrimonio Cultural </w:t>
      </w:r>
      <w:r w:rsidR="001904E7">
        <w:rPr>
          <w:rFonts w:ascii="Book Antiqua" w:hAnsi="Book Antiqua" w:cs="Times New Roman"/>
          <w:b/>
          <w:sz w:val="24"/>
          <w:szCs w:val="24"/>
        </w:rPr>
        <w:t xml:space="preserve">Intangible </w:t>
      </w:r>
      <w:r w:rsidRPr="00647898">
        <w:rPr>
          <w:rFonts w:ascii="Book Antiqua" w:hAnsi="Book Antiqua" w:cs="Times New Roman"/>
          <w:b/>
          <w:sz w:val="24"/>
          <w:szCs w:val="24"/>
        </w:rPr>
        <w:t xml:space="preserve">del Estado de Yucatán, </w:t>
      </w:r>
      <w:r w:rsidR="00C647AB">
        <w:rPr>
          <w:rFonts w:ascii="Book Antiqua" w:hAnsi="Book Antiqua" w:cs="Times New Roman"/>
          <w:sz w:val="24"/>
          <w:szCs w:val="24"/>
        </w:rPr>
        <w:t xml:space="preserve">con base a la siguiente: </w:t>
      </w:r>
    </w:p>
    <w:p w:rsidR="00C647AB" w:rsidRPr="00647898" w:rsidRDefault="00C647AB" w:rsidP="00647898">
      <w:pPr>
        <w:ind w:right="14"/>
        <w:jc w:val="both"/>
        <w:rPr>
          <w:rFonts w:ascii="Book Antiqua" w:hAnsi="Book Antiqua" w:cs="Times New Roman"/>
          <w:sz w:val="24"/>
          <w:szCs w:val="24"/>
        </w:rPr>
      </w:pPr>
    </w:p>
    <w:p w:rsidR="00647898" w:rsidRPr="00647898" w:rsidRDefault="00647898" w:rsidP="00647898">
      <w:pPr>
        <w:pStyle w:val="Textoindependiente"/>
        <w:spacing w:before="1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ind w:left="0" w:right="14"/>
        <w:jc w:val="center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Exposición de motivos</w:t>
      </w:r>
    </w:p>
    <w:p w:rsidR="00647898" w:rsidRPr="00647898" w:rsidRDefault="00647898" w:rsidP="00647898">
      <w:pPr>
        <w:pStyle w:val="Textoindependiente"/>
        <w:spacing w:before="1"/>
        <w:ind w:right="14"/>
        <w:jc w:val="both"/>
        <w:rPr>
          <w:rFonts w:ascii="Book Antiqua" w:hAnsi="Book Antiqua" w:cs="Times New Roman"/>
          <w:b/>
        </w:rPr>
      </w:pPr>
    </w:p>
    <w:p w:rsidR="00647898" w:rsidRPr="00647898" w:rsidRDefault="00647898" w:rsidP="00647898">
      <w:pPr>
        <w:pStyle w:val="Textoindependiente"/>
        <w:spacing w:before="1"/>
        <w:ind w:right="14"/>
        <w:jc w:val="both"/>
        <w:rPr>
          <w:rFonts w:ascii="Book Antiqua" w:hAnsi="Book Antiqua" w:cs="Times New Roman"/>
          <w:b/>
        </w:rPr>
      </w:pPr>
    </w:p>
    <w:p w:rsidR="00647898" w:rsidRPr="00647898" w:rsidRDefault="00647898" w:rsidP="00647898">
      <w:pPr>
        <w:pStyle w:val="Textoindependiente"/>
        <w:spacing w:before="1"/>
        <w:ind w:right="14" w:firstLine="682"/>
        <w:jc w:val="both"/>
        <w:rPr>
          <w:rFonts w:ascii="Book Antiqua" w:hAnsi="Book Antiqua" w:cs="Times New Roman"/>
          <w:shd w:val="clear" w:color="auto" w:fill="FFFFFF"/>
        </w:rPr>
      </w:pPr>
      <w:r w:rsidRPr="00647898">
        <w:rPr>
          <w:rFonts w:ascii="Book Antiqua" w:hAnsi="Book Antiqua" w:cs="Times New Roman"/>
          <w:shd w:val="clear" w:color="auto" w:fill="FFFFFF"/>
        </w:rPr>
        <w:t>El patrimonio es el legado que recibimos del pasado, que vivimos en el presente y que transmitiremos a las generaciones futuras.</w:t>
      </w:r>
    </w:p>
    <w:p w:rsidR="00647898" w:rsidRPr="00647898" w:rsidRDefault="00647898" w:rsidP="00647898">
      <w:pPr>
        <w:pStyle w:val="Textoindependiente"/>
        <w:spacing w:before="1"/>
        <w:ind w:right="14" w:firstLine="682"/>
        <w:jc w:val="both"/>
        <w:rPr>
          <w:rFonts w:ascii="Book Antiqua" w:hAnsi="Book Antiqua" w:cs="Times New Roman"/>
          <w:shd w:val="clear" w:color="auto" w:fill="FFFFFF"/>
        </w:rPr>
      </w:pPr>
    </w:p>
    <w:p w:rsidR="00647898" w:rsidRPr="00647898" w:rsidRDefault="00647898" w:rsidP="00647898">
      <w:pPr>
        <w:pStyle w:val="Textoindependiente"/>
        <w:spacing w:before="1"/>
        <w:ind w:right="14" w:firstLine="682"/>
        <w:jc w:val="both"/>
        <w:rPr>
          <w:rFonts w:ascii="Book Antiqua" w:hAnsi="Book Antiqua" w:cs="Times New Roman"/>
          <w:shd w:val="clear" w:color="auto" w:fill="FFFFFF"/>
        </w:rPr>
      </w:pPr>
      <w:r w:rsidRPr="00647898">
        <w:rPr>
          <w:rFonts w:ascii="Book Antiqua" w:hAnsi="Book Antiqua" w:cs="Times New Roman"/>
          <w:shd w:val="clear" w:color="auto" w:fill="FFFFFF"/>
        </w:rPr>
        <w:t xml:space="preserve">La </w:t>
      </w:r>
      <w:r w:rsidRPr="00647898">
        <w:rPr>
          <w:rFonts w:ascii="Book Antiqua" w:hAnsi="Book Antiqua" w:cs="Times New Roman"/>
        </w:rPr>
        <w:t>Organización de las Naciones Unidas para la Educación la Ciencia y la Cultura</w:t>
      </w:r>
      <w:r w:rsidRPr="00647898">
        <w:rPr>
          <w:rFonts w:ascii="Book Antiqua" w:hAnsi="Book Antiqua" w:cs="Times New Roman"/>
          <w:shd w:val="clear" w:color="auto" w:fill="FFFFFF"/>
        </w:rPr>
        <w:t xml:space="preserve"> (UNESCO) afirma que el patrimonio cultural no se limita a monumentos y colecciones de objetos. Comprende también expresiones vivas heredadas de nuestros antepasados, como tradiciones orales, artes del espectáculo, usos sociales, rituales, actos festivos, conocimientos y prácticas relativos a la naturaleza y el universo, y saberes y técnicas vinculados a la artesanía tradicional. Pese a su fragilidad, el patrimonio cultural inmaterial o patrimonio vivo es un importante factor del mantenimiento de la diversidad cultural. </w:t>
      </w:r>
      <w:r w:rsidRPr="00647898">
        <w:rPr>
          <w:rStyle w:val="Refdenotaalpie"/>
          <w:rFonts w:ascii="Book Antiqua" w:hAnsi="Book Antiqua" w:cs="Times New Roman"/>
          <w:shd w:val="clear" w:color="auto" w:fill="FFFFFF"/>
        </w:rPr>
        <w:footnoteReference w:id="1"/>
      </w:r>
    </w:p>
    <w:p w:rsidR="00647898" w:rsidRPr="00647898" w:rsidRDefault="00647898" w:rsidP="00647898">
      <w:pPr>
        <w:pStyle w:val="Textoindependiente"/>
        <w:spacing w:before="1"/>
        <w:ind w:right="14" w:firstLine="682"/>
        <w:jc w:val="both"/>
        <w:rPr>
          <w:rFonts w:ascii="Book Antiqua" w:hAnsi="Book Antiqua" w:cs="Times New Roman"/>
          <w:shd w:val="clear" w:color="auto" w:fill="FFFFFF"/>
        </w:rPr>
      </w:pPr>
    </w:p>
    <w:p w:rsidR="00C647AB" w:rsidRDefault="00647898" w:rsidP="00C647AB">
      <w:pPr>
        <w:widowControl/>
        <w:shd w:val="clear" w:color="auto" w:fill="FFFFFF"/>
        <w:autoSpaceDE/>
        <w:autoSpaceDN/>
        <w:ind w:right="14" w:firstLine="708"/>
        <w:jc w:val="both"/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</w:pPr>
      <w:r w:rsidRPr="00E036BE"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  <w:t>El </w:t>
      </w:r>
      <w:hyperlink r:id="rId7" w:history="1">
        <w:r w:rsidRPr="00647898">
          <w:rPr>
            <w:rFonts w:ascii="Book Antiqua" w:eastAsia="Times New Roman" w:hAnsi="Book Antiqua" w:cs="Times New Roman"/>
            <w:sz w:val="24"/>
            <w:szCs w:val="24"/>
            <w:lang w:val="es-MX" w:eastAsia="es-MX" w:bidi="ar-SA"/>
          </w:rPr>
          <w:t>patrimonio cultural inmaterial</w:t>
        </w:r>
      </w:hyperlink>
      <w:r w:rsidRPr="00E036BE"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  <w:t> o </w:t>
      </w:r>
      <w:hyperlink r:id="rId8" w:history="1">
        <w:r w:rsidRPr="00647898">
          <w:rPr>
            <w:rFonts w:ascii="Book Antiqua" w:eastAsia="Times New Roman" w:hAnsi="Book Antiqua" w:cs="Times New Roman"/>
            <w:sz w:val="24"/>
            <w:szCs w:val="24"/>
            <w:lang w:val="es-MX" w:eastAsia="es-MX" w:bidi="ar-SA"/>
          </w:rPr>
          <w:t>“patrimonio vivo”</w:t>
        </w:r>
      </w:hyperlink>
      <w:r w:rsidRPr="00E036BE"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  <w:t> se refiere a las prácticas, expresiones, saberes o técnicas transmitidos por las comunidades de generación en generación.</w:t>
      </w:r>
    </w:p>
    <w:p w:rsidR="00C647AB" w:rsidRDefault="00C647AB" w:rsidP="00C647AB">
      <w:pPr>
        <w:widowControl/>
        <w:shd w:val="clear" w:color="auto" w:fill="FFFFFF"/>
        <w:autoSpaceDE/>
        <w:autoSpaceDN/>
        <w:ind w:right="14" w:firstLine="708"/>
        <w:jc w:val="both"/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</w:pPr>
    </w:p>
    <w:p w:rsidR="00647898" w:rsidRPr="00647898" w:rsidRDefault="00647898" w:rsidP="00C647AB">
      <w:pPr>
        <w:widowControl/>
        <w:shd w:val="clear" w:color="auto" w:fill="FFFFFF"/>
        <w:autoSpaceDE/>
        <w:autoSpaceDN/>
        <w:ind w:right="14" w:firstLine="708"/>
        <w:jc w:val="both"/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</w:pPr>
      <w:r w:rsidRPr="00E036BE"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  <w:lastRenderedPageBreak/>
        <w:t>El patrimonio inmaterial proporciona a las comunidades un sentimiento de identidad y de continuidad: favorece la creatividad y el bienestar social, contribuye a la gestión del entorno natural y social y genera ingresos económicos</w:t>
      </w:r>
      <w:r w:rsidRPr="00647898">
        <w:rPr>
          <w:rFonts w:ascii="Book Antiqua" w:eastAsia="Times New Roman" w:hAnsi="Book Antiqua" w:cs="Times New Roman"/>
          <w:sz w:val="24"/>
          <w:szCs w:val="24"/>
          <w:lang w:val="es-MX" w:eastAsia="es-MX" w:bidi="ar-SA"/>
        </w:rPr>
        <w:t xml:space="preserve">. </w:t>
      </w:r>
    </w:p>
    <w:p w:rsidR="00647898" w:rsidRPr="00647898" w:rsidRDefault="00647898" w:rsidP="00647898">
      <w:pPr>
        <w:pStyle w:val="Textoindependiente"/>
        <w:spacing w:before="1"/>
        <w:ind w:right="14"/>
        <w:jc w:val="both"/>
        <w:rPr>
          <w:rFonts w:ascii="Book Antiqua" w:hAnsi="Book Antiqua" w:cs="Times New Roman"/>
          <w:b/>
        </w:rPr>
      </w:pPr>
    </w:p>
    <w:p w:rsidR="00647898" w:rsidRPr="00647898" w:rsidRDefault="00647898" w:rsidP="00647898">
      <w:pPr>
        <w:pStyle w:val="Textoindependiente"/>
        <w:spacing w:before="1"/>
        <w:ind w:right="14" w:firstLine="708"/>
        <w:jc w:val="both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 xml:space="preserve">Yucatán es rico en cultura y </w:t>
      </w:r>
      <w:proofErr w:type="gramStart"/>
      <w:r w:rsidRPr="00647898">
        <w:rPr>
          <w:rFonts w:ascii="Book Antiqua" w:hAnsi="Book Antiqua" w:cs="Times New Roman"/>
        </w:rPr>
        <w:t>tradiciones,  las</w:t>
      </w:r>
      <w:proofErr w:type="gramEnd"/>
      <w:r w:rsidRPr="00647898">
        <w:rPr>
          <w:rFonts w:ascii="Book Antiqua" w:hAnsi="Book Antiqua" w:cs="Times New Roman"/>
        </w:rPr>
        <w:t xml:space="preserve"> fiestas de los pueblos son esperadas con gran entusiasmo y algarabía por los pobladores, son fechas importantes para la comunidad, en donde en muchas ocasiones se reúnen familias que no se veían a lo largo del año. </w:t>
      </w:r>
    </w:p>
    <w:p w:rsidR="00647898" w:rsidRPr="00647898" w:rsidRDefault="00647898" w:rsidP="00647898">
      <w:pPr>
        <w:pStyle w:val="Textoindependiente"/>
        <w:spacing w:before="1"/>
        <w:ind w:right="14" w:firstLine="708"/>
        <w:jc w:val="both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spacing w:before="1"/>
        <w:ind w:right="14" w:firstLine="708"/>
        <w:jc w:val="both"/>
        <w:rPr>
          <w:rFonts w:ascii="Book Antiqua" w:hAnsi="Book Antiqua" w:cs="Times New Roman"/>
          <w:shd w:val="clear" w:color="auto" w:fill="FFFFFF"/>
        </w:rPr>
      </w:pPr>
      <w:r w:rsidRPr="00647898">
        <w:rPr>
          <w:rFonts w:ascii="Book Antiqua" w:hAnsi="Book Antiqua" w:cs="Times New Roman"/>
        </w:rPr>
        <w:t>Con el</w:t>
      </w:r>
      <w:r w:rsidRPr="00647898">
        <w:rPr>
          <w:rFonts w:ascii="Book Antiqua" w:hAnsi="Book Antiqua" w:cs="Times New Roman"/>
          <w:b/>
        </w:rPr>
        <w:t xml:space="preserve"> </w:t>
      </w:r>
      <w:r w:rsidRPr="00647898">
        <w:rPr>
          <w:rFonts w:ascii="Book Antiqua" w:hAnsi="Book Antiqua" w:cs="Times New Roman"/>
          <w:shd w:val="clear" w:color="auto" w:fill="FFFFFF"/>
        </w:rPr>
        <w:t xml:space="preserve">propósito de la preservación, investigación, fortalecimiento y difusión de los bienes culturales reconocidos como propios por los yucatecos, y en particular por los </w:t>
      </w:r>
      <w:proofErr w:type="spellStart"/>
      <w:r w:rsidRPr="00647898">
        <w:rPr>
          <w:rFonts w:ascii="Book Antiqua" w:hAnsi="Book Antiqua" w:cs="Times New Roman"/>
          <w:shd w:val="clear" w:color="auto" w:fill="FFFFFF"/>
        </w:rPr>
        <w:t>Tizimileños</w:t>
      </w:r>
      <w:proofErr w:type="spellEnd"/>
      <w:r w:rsidRPr="00647898">
        <w:rPr>
          <w:rFonts w:ascii="Book Antiqua" w:hAnsi="Book Antiqua" w:cs="Times New Roman"/>
          <w:shd w:val="clear" w:color="auto" w:fill="FFFFFF"/>
        </w:rPr>
        <w:t xml:space="preserve">, sobresale una edificación realizada todos los años como preámbulo al inicio de la fiesta patronal de los Santos Reyes, éste es </w:t>
      </w:r>
      <w:r w:rsidRPr="00647898">
        <w:rPr>
          <w:rFonts w:ascii="Book Antiqua" w:hAnsi="Book Antiqua" w:cs="Times New Roman"/>
          <w:b/>
          <w:shd w:val="clear" w:color="auto" w:fill="FFFFFF"/>
        </w:rPr>
        <w:t xml:space="preserve">El coso Taurino </w:t>
      </w:r>
      <w:r w:rsidR="00C55638">
        <w:rPr>
          <w:rFonts w:ascii="Book Antiqua" w:hAnsi="Book Antiqua" w:cs="Times New Roman"/>
          <w:b/>
          <w:shd w:val="clear" w:color="auto" w:fill="FFFFFF"/>
        </w:rPr>
        <w:t xml:space="preserve">Artesanal </w:t>
      </w:r>
      <w:r w:rsidRPr="00647898">
        <w:rPr>
          <w:rFonts w:ascii="Book Antiqua" w:hAnsi="Book Antiqua" w:cs="Times New Roman"/>
          <w:b/>
          <w:shd w:val="clear" w:color="auto" w:fill="FFFFFF"/>
        </w:rPr>
        <w:t xml:space="preserve">de </w:t>
      </w:r>
      <w:proofErr w:type="spellStart"/>
      <w:r w:rsidRPr="00647898">
        <w:rPr>
          <w:rFonts w:ascii="Book Antiqua" w:hAnsi="Book Antiqua" w:cs="Times New Roman"/>
          <w:b/>
          <w:shd w:val="clear" w:color="auto" w:fill="FFFFFF"/>
        </w:rPr>
        <w:t>Tizimín</w:t>
      </w:r>
      <w:proofErr w:type="spellEnd"/>
      <w:r w:rsidRPr="00647898">
        <w:rPr>
          <w:rFonts w:ascii="Book Antiqua" w:hAnsi="Book Antiqua" w:cs="Times New Roman"/>
          <w:b/>
          <w:shd w:val="clear" w:color="auto" w:fill="FFFFFF"/>
        </w:rPr>
        <w:t>.</w:t>
      </w:r>
      <w:r w:rsidRPr="00647898">
        <w:rPr>
          <w:rFonts w:ascii="Book Antiqua" w:hAnsi="Book Antiqua" w:cs="Times New Roman"/>
          <w:shd w:val="clear" w:color="auto" w:fill="FFFFFF"/>
        </w:rPr>
        <w:t xml:space="preserve"> </w:t>
      </w:r>
    </w:p>
    <w:p w:rsidR="00647898" w:rsidRPr="00647898" w:rsidRDefault="00647898" w:rsidP="00647898">
      <w:pPr>
        <w:pStyle w:val="Textoindependiente"/>
        <w:spacing w:before="1"/>
        <w:ind w:right="14" w:firstLine="708"/>
        <w:jc w:val="both"/>
        <w:rPr>
          <w:rFonts w:ascii="Book Antiqua" w:hAnsi="Book Antiqua" w:cs="Times New Roman"/>
          <w:shd w:val="clear" w:color="auto" w:fill="FFFFFF"/>
        </w:rPr>
      </w:pPr>
    </w:p>
    <w:p w:rsidR="00C55638" w:rsidRDefault="00647898" w:rsidP="00647898">
      <w:pPr>
        <w:pStyle w:val="Textoindependiente"/>
        <w:ind w:right="14" w:firstLine="708"/>
        <w:jc w:val="both"/>
        <w:rPr>
          <w:rFonts w:ascii="Book Antiqua" w:hAnsi="Book Antiqua" w:cs="Times New Roman"/>
          <w:shd w:val="clear" w:color="auto" w:fill="FCFCFC"/>
        </w:rPr>
      </w:pPr>
      <w:r w:rsidRPr="00647898">
        <w:rPr>
          <w:rFonts w:ascii="Book Antiqua" w:hAnsi="Book Antiqua" w:cs="Times New Roman"/>
          <w:shd w:val="clear" w:color="auto" w:fill="FCFCFC"/>
        </w:rPr>
        <w:t xml:space="preserve">El coso taurino de </w:t>
      </w:r>
      <w:proofErr w:type="spellStart"/>
      <w:r w:rsidRPr="00647898">
        <w:rPr>
          <w:rFonts w:ascii="Book Antiqua" w:hAnsi="Book Antiqua" w:cs="Times New Roman"/>
          <w:shd w:val="clear" w:color="auto" w:fill="FCFCFC"/>
        </w:rPr>
        <w:t>Tizimín</w:t>
      </w:r>
      <w:proofErr w:type="spellEnd"/>
      <w:r w:rsidR="00C55638">
        <w:rPr>
          <w:rFonts w:ascii="Book Antiqua" w:hAnsi="Book Antiqua" w:cs="Times New Roman"/>
          <w:shd w:val="clear" w:color="auto" w:fill="FCFCFC"/>
        </w:rPr>
        <w:t xml:space="preserve"> es una obra de arte</w:t>
      </w:r>
      <w:r w:rsidR="00C647AB">
        <w:rPr>
          <w:rFonts w:ascii="Book Antiqua" w:hAnsi="Book Antiqua" w:cs="Times New Roman"/>
          <w:shd w:val="clear" w:color="auto" w:fill="FCFCFC"/>
        </w:rPr>
        <w:t>, el segundo más grande a nivel nacional después de la Petatera en Colima</w:t>
      </w:r>
      <w:r w:rsidR="00C55638" w:rsidRPr="00C55638">
        <w:rPr>
          <w:rFonts w:ascii="Book Antiqua" w:hAnsi="Book Antiqua" w:cs="Times New Roman"/>
          <w:shd w:val="clear" w:color="auto" w:fill="FCFCFC"/>
        </w:rPr>
        <w:t xml:space="preserve"> </w:t>
      </w:r>
      <w:r w:rsidR="00C55638">
        <w:rPr>
          <w:rFonts w:ascii="Book Antiqua" w:hAnsi="Book Antiqua" w:cs="Times New Roman"/>
          <w:shd w:val="clear" w:color="auto" w:fill="FCFCFC"/>
        </w:rPr>
        <w:t>y</w:t>
      </w:r>
      <w:r w:rsidR="00C55638" w:rsidRPr="00647898">
        <w:rPr>
          <w:rFonts w:ascii="Book Antiqua" w:hAnsi="Book Antiqua" w:cs="Times New Roman"/>
          <w:shd w:val="clear" w:color="auto" w:fill="FCFCFC"/>
        </w:rPr>
        <w:t xml:space="preserve"> </w:t>
      </w:r>
      <w:proofErr w:type="gramStart"/>
      <w:r w:rsidR="00C55638" w:rsidRPr="00647898">
        <w:rPr>
          <w:rFonts w:ascii="Book Antiqua" w:hAnsi="Book Antiqua" w:cs="Times New Roman"/>
          <w:shd w:val="clear" w:color="auto" w:fill="FCFCFC"/>
        </w:rPr>
        <w:t>el  más</w:t>
      </w:r>
      <w:proofErr w:type="gramEnd"/>
      <w:r w:rsidR="00C55638" w:rsidRPr="00647898">
        <w:rPr>
          <w:rFonts w:ascii="Book Antiqua" w:hAnsi="Book Antiqua" w:cs="Times New Roman"/>
          <w:shd w:val="clear" w:color="auto" w:fill="FCFCFC"/>
        </w:rPr>
        <w:t xml:space="preserve"> grande del sureste mexicano</w:t>
      </w:r>
      <w:r w:rsidR="00C647AB">
        <w:rPr>
          <w:rFonts w:ascii="Book Antiqua" w:hAnsi="Book Antiqua" w:cs="Times New Roman"/>
          <w:shd w:val="clear" w:color="auto" w:fill="FCFCFC"/>
        </w:rPr>
        <w:t xml:space="preserve">, </w:t>
      </w:r>
      <w:r w:rsidRPr="00647898">
        <w:rPr>
          <w:rFonts w:ascii="Book Antiqua" w:hAnsi="Book Antiqua" w:cs="Times New Roman"/>
          <w:shd w:val="clear" w:color="auto" w:fill="FCFCFC"/>
        </w:rPr>
        <w:t xml:space="preserve">creado artesanalmente hace más de doscientos años, se elabora </w:t>
      </w:r>
      <w:r w:rsidR="00C55638">
        <w:rPr>
          <w:rFonts w:ascii="Book Antiqua" w:hAnsi="Book Antiqua" w:cs="Times New Roman"/>
          <w:shd w:val="clear" w:color="auto" w:fill="FCFCFC"/>
        </w:rPr>
        <w:t xml:space="preserve">con puro amarre de sogas, </w:t>
      </w:r>
      <w:r w:rsidRPr="00647898">
        <w:rPr>
          <w:rFonts w:ascii="Book Antiqua" w:hAnsi="Book Antiqua" w:cs="Times New Roman"/>
          <w:shd w:val="clear" w:color="auto" w:fill="FCFCFC"/>
        </w:rPr>
        <w:t>maderas recién cortadas</w:t>
      </w:r>
      <w:r w:rsidR="00C55638">
        <w:rPr>
          <w:rFonts w:ascii="Book Antiqua" w:hAnsi="Book Antiqua" w:cs="Times New Roman"/>
          <w:shd w:val="clear" w:color="auto" w:fill="FCFCFC"/>
        </w:rPr>
        <w:t xml:space="preserve"> de la región como lo son  </w:t>
      </w:r>
      <w:r w:rsidR="00C647AB">
        <w:rPr>
          <w:rFonts w:ascii="Book Antiqua" w:hAnsi="Book Antiqua" w:cs="Times New Roman"/>
          <w:shd w:val="clear" w:color="auto" w:fill="FCFCFC"/>
        </w:rPr>
        <w:t>e</w:t>
      </w:r>
      <w:r w:rsidR="00C55638">
        <w:rPr>
          <w:rFonts w:ascii="Book Antiqua" w:hAnsi="Book Antiqua" w:cs="Times New Roman"/>
          <w:shd w:val="clear" w:color="auto" w:fill="FCFCFC"/>
        </w:rPr>
        <w:t>l</w:t>
      </w:r>
      <w:r w:rsidR="00C647AB">
        <w:rPr>
          <w:rFonts w:ascii="Book Antiqua" w:hAnsi="Book Antiqua" w:cs="Times New Roman"/>
          <w:shd w:val="clear" w:color="auto" w:fill="FCFCFC"/>
        </w:rPr>
        <w:t xml:space="preserve"> </w:t>
      </w:r>
      <w:proofErr w:type="spellStart"/>
      <w:r w:rsidR="00C647AB">
        <w:rPr>
          <w:rFonts w:ascii="Book Antiqua" w:hAnsi="Book Antiqua" w:cs="Times New Roman"/>
          <w:shd w:val="clear" w:color="auto" w:fill="FCFCFC"/>
        </w:rPr>
        <w:t>xuiul</w:t>
      </w:r>
      <w:proofErr w:type="spellEnd"/>
      <w:r w:rsidR="00C647AB">
        <w:rPr>
          <w:rFonts w:ascii="Book Antiqua" w:hAnsi="Book Antiqua" w:cs="Times New Roman"/>
          <w:shd w:val="clear" w:color="auto" w:fill="FCFCFC"/>
        </w:rPr>
        <w:t xml:space="preserve">, </w:t>
      </w:r>
      <w:proofErr w:type="spellStart"/>
      <w:r w:rsidR="00C647AB">
        <w:rPr>
          <w:rFonts w:ascii="Book Antiqua" w:hAnsi="Book Antiqua" w:cs="Times New Roman"/>
          <w:shd w:val="clear" w:color="auto" w:fill="FCFCFC"/>
        </w:rPr>
        <w:t>bob</w:t>
      </w:r>
      <w:proofErr w:type="spellEnd"/>
      <w:r w:rsidR="00C647AB">
        <w:rPr>
          <w:rFonts w:ascii="Book Antiqua" w:hAnsi="Book Antiqua" w:cs="Times New Roman"/>
          <w:shd w:val="clear" w:color="auto" w:fill="FCFCFC"/>
        </w:rPr>
        <w:t xml:space="preserve">, </w:t>
      </w:r>
      <w:proofErr w:type="spellStart"/>
      <w:r w:rsidR="00C647AB">
        <w:rPr>
          <w:rFonts w:ascii="Book Antiqua" w:hAnsi="Book Antiqua" w:cs="Times New Roman"/>
          <w:shd w:val="clear" w:color="auto" w:fill="FCFCFC"/>
        </w:rPr>
        <w:t>catzín</w:t>
      </w:r>
      <w:proofErr w:type="spellEnd"/>
      <w:r w:rsidR="00C647AB">
        <w:rPr>
          <w:rFonts w:ascii="Book Antiqua" w:hAnsi="Book Antiqua" w:cs="Times New Roman"/>
          <w:shd w:val="clear" w:color="auto" w:fill="FCFCFC"/>
        </w:rPr>
        <w:t xml:space="preserve">, </w:t>
      </w:r>
      <w:proofErr w:type="spellStart"/>
      <w:r w:rsidR="00C647AB">
        <w:rPr>
          <w:rFonts w:ascii="Book Antiqua" w:hAnsi="Book Antiqua" w:cs="Times New Roman"/>
          <w:shd w:val="clear" w:color="auto" w:fill="FCFCFC"/>
        </w:rPr>
        <w:t>bojom</w:t>
      </w:r>
      <w:proofErr w:type="spellEnd"/>
      <w:r w:rsidR="00C647AB">
        <w:rPr>
          <w:rFonts w:ascii="Book Antiqua" w:hAnsi="Book Antiqua" w:cs="Times New Roman"/>
          <w:shd w:val="clear" w:color="auto" w:fill="FCFCFC"/>
        </w:rPr>
        <w:t>,</w:t>
      </w:r>
      <w:r w:rsidR="00C55638">
        <w:rPr>
          <w:rFonts w:ascii="Book Antiqua" w:hAnsi="Book Antiqua" w:cs="Times New Roman"/>
          <w:shd w:val="clear" w:color="auto" w:fill="FCFCFC"/>
        </w:rPr>
        <w:t xml:space="preserve"> </w:t>
      </w:r>
      <w:r w:rsidRPr="00647898">
        <w:rPr>
          <w:rFonts w:ascii="Book Antiqua" w:hAnsi="Book Antiqua" w:cs="Times New Roman"/>
          <w:shd w:val="clear" w:color="auto" w:fill="FCFCFC"/>
        </w:rPr>
        <w:t>bejucos</w:t>
      </w:r>
      <w:r w:rsidR="00C55638">
        <w:rPr>
          <w:rFonts w:ascii="Book Antiqua" w:hAnsi="Book Antiqua" w:cs="Times New Roman"/>
          <w:shd w:val="clear" w:color="auto" w:fill="FCFCFC"/>
        </w:rPr>
        <w:t xml:space="preserve"> y con </w:t>
      </w:r>
      <w:r w:rsidR="00C55638" w:rsidRPr="00647898">
        <w:rPr>
          <w:rFonts w:ascii="Book Antiqua" w:hAnsi="Book Antiqua" w:cs="Times New Roman"/>
          <w:shd w:val="clear" w:color="auto" w:fill="FCFCFC"/>
        </w:rPr>
        <w:t xml:space="preserve">palmas de </w:t>
      </w:r>
      <w:proofErr w:type="spellStart"/>
      <w:r w:rsidR="00C55638" w:rsidRPr="00647898">
        <w:rPr>
          <w:rFonts w:ascii="Book Antiqua" w:hAnsi="Book Antiqua" w:cs="Times New Roman"/>
          <w:shd w:val="clear" w:color="auto" w:fill="FCFCFC"/>
        </w:rPr>
        <w:t>huano</w:t>
      </w:r>
      <w:proofErr w:type="spellEnd"/>
      <w:r w:rsidR="00C55638">
        <w:rPr>
          <w:rFonts w:ascii="Book Antiqua" w:hAnsi="Book Antiqua" w:cs="Times New Roman"/>
          <w:shd w:val="clear" w:color="auto" w:fill="FCFCFC"/>
        </w:rPr>
        <w:t>.</w:t>
      </w:r>
      <w:r w:rsidRPr="00647898">
        <w:rPr>
          <w:rFonts w:ascii="Book Antiqua" w:hAnsi="Book Antiqua" w:cs="Times New Roman"/>
          <w:shd w:val="clear" w:color="auto" w:fill="FCFCFC"/>
        </w:rPr>
        <w:t xml:space="preserve"> Mide 70 metros de diámetro,</w:t>
      </w:r>
      <w:r w:rsidR="00C647AB">
        <w:rPr>
          <w:rFonts w:ascii="Book Antiqua" w:hAnsi="Book Antiqua" w:cs="Times New Roman"/>
          <w:shd w:val="clear" w:color="auto" w:fill="FCFCFC"/>
        </w:rPr>
        <w:t xml:space="preserve"> con capacidad para</w:t>
      </w:r>
      <w:r w:rsidR="00C55638">
        <w:rPr>
          <w:rFonts w:ascii="Book Antiqua" w:hAnsi="Book Antiqua" w:cs="Times New Roman"/>
          <w:shd w:val="clear" w:color="auto" w:fill="FCFCFC"/>
        </w:rPr>
        <w:t xml:space="preserve"> aproximadamente</w:t>
      </w:r>
      <w:r w:rsidR="00C647AB">
        <w:rPr>
          <w:rFonts w:ascii="Book Antiqua" w:hAnsi="Book Antiqua" w:cs="Times New Roman"/>
          <w:shd w:val="clear" w:color="auto" w:fill="FCFCFC"/>
        </w:rPr>
        <w:t xml:space="preserve"> 4</w:t>
      </w:r>
      <w:r w:rsidR="00C55638">
        <w:rPr>
          <w:rFonts w:ascii="Book Antiqua" w:hAnsi="Book Antiqua" w:cs="Times New Roman"/>
          <w:shd w:val="clear" w:color="auto" w:fill="FCFCFC"/>
        </w:rPr>
        <w:t>0</w:t>
      </w:r>
      <w:r w:rsidR="00C647AB">
        <w:rPr>
          <w:rFonts w:ascii="Book Antiqua" w:hAnsi="Book Antiqua" w:cs="Times New Roman"/>
          <w:shd w:val="clear" w:color="auto" w:fill="FCFCFC"/>
        </w:rPr>
        <w:t xml:space="preserve">00 personas sentadas más las de a </w:t>
      </w:r>
      <w:proofErr w:type="gramStart"/>
      <w:r w:rsidR="00C647AB">
        <w:rPr>
          <w:rFonts w:ascii="Book Antiqua" w:hAnsi="Book Antiqua" w:cs="Times New Roman"/>
          <w:shd w:val="clear" w:color="auto" w:fill="FCFCFC"/>
        </w:rPr>
        <w:t xml:space="preserve">pie, </w:t>
      </w:r>
      <w:r w:rsidRPr="00647898">
        <w:rPr>
          <w:rFonts w:ascii="Book Antiqua" w:hAnsi="Book Antiqua" w:cs="Times New Roman"/>
          <w:shd w:val="clear" w:color="auto" w:fill="FCFCFC"/>
        </w:rPr>
        <w:t xml:space="preserve"> su</w:t>
      </w:r>
      <w:proofErr w:type="gramEnd"/>
      <w:r w:rsidRPr="00647898">
        <w:rPr>
          <w:rFonts w:ascii="Book Antiqua" w:hAnsi="Book Antiqua" w:cs="Times New Roman"/>
          <w:shd w:val="clear" w:color="auto" w:fill="FCFCFC"/>
        </w:rPr>
        <w:t xml:space="preserve"> estructura de madera de tres niveles es forrada con </w:t>
      </w:r>
      <w:proofErr w:type="spellStart"/>
      <w:r w:rsidRPr="00647898">
        <w:rPr>
          <w:rFonts w:ascii="Book Antiqua" w:hAnsi="Book Antiqua" w:cs="Times New Roman"/>
          <w:shd w:val="clear" w:color="auto" w:fill="FCFCFC"/>
        </w:rPr>
        <w:t>huano</w:t>
      </w:r>
      <w:proofErr w:type="spellEnd"/>
      <w:r w:rsidR="00C55638">
        <w:rPr>
          <w:rFonts w:ascii="Book Antiqua" w:hAnsi="Book Antiqua" w:cs="Times New Roman"/>
          <w:shd w:val="clear" w:color="auto" w:fill="FCFCFC"/>
        </w:rPr>
        <w:t xml:space="preserve"> verde de monte al estilo de las antiguas construcciones mayas, esto para evitar incendios. </w:t>
      </w:r>
    </w:p>
    <w:p w:rsidR="00647898" w:rsidRDefault="00C55638" w:rsidP="00C55638">
      <w:pPr>
        <w:pStyle w:val="Textoindependiente"/>
        <w:ind w:right="14" w:firstLine="708"/>
        <w:jc w:val="both"/>
        <w:rPr>
          <w:rFonts w:ascii="Book Antiqua" w:hAnsi="Book Antiqua" w:cs="Times New Roman"/>
          <w:shd w:val="clear" w:color="auto" w:fill="FCFCFC"/>
        </w:rPr>
      </w:pPr>
      <w:r>
        <w:rPr>
          <w:rFonts w:ascii="Book Antiqua" w:hAnsi="Book Antiqua" w:cs="Times New Roman"/>
          <w:shd w:val="clear" w:color="auto" w:fill="FCFCFC"/>
        </w:rPr>
        <w:t xml:space="preserve">Los responsables de ésta monumental construcción son los artesanos denominados </w:t>
      </w:r>
      <w:proofErr w:type="spellStart"/>
      <w:r>
        <w:rPr>
          <w:rFonts w:ascii="Book Antiqua" w:hAnsi="Book Antiqua" w:cs="Times New Roman"/>
          <w:shd w:val="clear" w:color="auto" w:fill="FCFCFC"/>
        </w:rPr>
        <w:t>palqueros</w:t>
      </w:r>
      <w:proofErr w:type="spellEnd"/>
      <w:r>
        <w:rPr>
          <w:rFonts w:ascii="Book Antiqua" w:hAnsi="Book Antiqua" w:cs="Times New Roman"/>
          <w:shd w:val="clear" w:color="auto" w:fill="FCFCFC"/>
        </w:rPr>
        <w:t>, quienes conservan la tradición de padres a hijos respetando sus derechos desde tiempos remotos. I</w:t>
      </w:r>
      <w:r w:rsidR="00647898" w:rsidRPr="00647898">
        <w:rPr>
          <w:rFonts w:ascii="Book Antiqua" w:hAnsi="Book Antiqua" w:cs="Times New Roman"/>
          <w:shd w:val="clear" w:color="auto" w:fill="FCFCFC"/>
        </w:rPr>
        <w:t>nician el segundo domi</w:t>
      </w:r>
      <w:r w:rsidR="00824D7B">
        <w:rPr>
          <w:rFonts w:ascii="Book Antiqua" w:hAnsi="Book Antiqua" w:cs="Times New Roman"/>
          <w:shd w:val="clear" w:color="auto" w:fill="FCFCFC"/>
        </w:rPr>
        <w:t xml:space="preserve">ngo de Diciembre con </w:t>
      </w:r>
      <w:r w:rsidR="00C647AB">
        <w:rPr>
          <w:rFonts w:ascii="Book Antiqua" w:hAnsi="Book Antiqua" w:cs="Times New Roman"/>
          <w:shd w:val="clear" w:color="auto" w:fill="FCFCFC"/>
        </w:rPr>
        <w:t>l</w:t>
      </w:r>
      <w:r w:rsidR="00824D7B">
        <w:rPr>
          <w:rFonts w:ascii="Book Antiqua" w:hAnsi="Book Antiqua" w:cs="Times New Roman"/>
          <w:shd w:val="clear" w:color="auto" w:fill="FCFCFC"/>
        </w:rPr>
        <w:t>a</w:t>
      </w:r>
      <w:r w:rsidR="00C647AB">
        <w:rPr>
          <w:rFonts w:ascii="Book Antiqua" w:hAnsi="Book Antiqua" w:cs="Times New Roman"/>
          <w:shd w:val="clear" w:color="auto" w:fill="FCFCFC"/>
        </w:rPr>
        <w:t xml:space="preserve"> tradicional </w:t>
      </w:r>
      <w:r w:rsidR="00824D7B">
        <w:rPr>
          <w:rFonts w:ascii="Book Antiqua" w:hAnsi="Book Antiqua" w:cs="Times New Roman"/>
          <w:shd w:val="clear" w:color="auto" w:fill="FCFCFC"/>
        </w:rPr>
        <w:t>siembra del primer poste</w:t>
      </w:r>
      <w:r w:rsidR="00C647AB">
        <w:rPr>
          <w:rFonts w:ascii="Book Antiqua" w:hAnsi="Book Antiqua" w:cs="Times New Roman"/>
          <w:shd w:val="clear" w:color="auto" w:fill="FCFCFC"/>
        </w:rPr>
        <w:t>, que tiene una profu</w:t>
      </w:r>
      <w:r>
        <w:rPr>
          <w:rFonts w:ascii="Book Antiqua" w:hAnsi="Book Antiqua" w:cs="Times New Roman"/>
          <w:shd w:val="clear" w:color="auto" w:fill="FCFCFC"/>
        </w:rPr>
        <w:t xml:space="preserve">ndidad mínima de 95centímetros </w:t>
      </w:r>
      <w:proofErr w:type="gramStart"/>
      <w:r>
        <w:rPr>
          <w:rFonts w:ascii="Book Antiqua" w:hAnsi="Book Antiqua" w:cs="Times New Roman"/>
          <w:shd w:val="clear" w:color="auto" w:fill="FCFCFC"/>
        </w:rPr>
        <w:t xml:space="preserve">y </w:t>
      </w:r>
      <w:r w:rsidR="00647898" w:rsidRPr="00647898">
        <w:rPr>
          <w:rFonts w:ascii="Book Antiqua" w:hAnsi="Book Antiqua" w:cs="Times New Roman"/>
          <w:shd w:val="clear" w:color="auto" w:fill="FCFCFC"/>
        </w:rPr>
        <w:t xml:space="preserve"> debe</w:t>
      </w:r>
      <w:proofErr w:type="gramEnd"/>
      <w:r w:rsidR="00647898" w:rsidRPr="00647898">
        <w:rPr>
          <w:rFonts w:ascii="Book Antiqua" w:hAnsi="Book Antiqua" w:cs="Times New Roman"/>
          <w:shd w:val="clear" w:color="auto" w:fill="FCFCFC"/>
        </w:rPr>
        <w:t xml:space="preserve"> quedar listo </w:t>
      </w:r>
      <w:r>
        <w:rPr>
          <w:rFonts w:ascii="Book Antiqua" w:hAnsi="Book Antiqua" w:cs="Times New Roman"/>
          <w:shd w:val="clear" w:color="auto" w:fill="FCFCFC"/>
        </w:rPr>
        <w:t xml:space="preserve">antes </w:t>
      </w:r>
      <w:r w:rsidR="00647898" w:rsidRPr="00647898">
        <w:rPr>
          <w:rFonts w:ascii="Book Antiqua" w:hAnsi="Book Antiqua" w:cs="Times New Roman"/>
          <w:shd w:val="clear" w:color="auto" w:fill="FCFCFC"/>
        </w:rPr>
        <w:t xml:space="preserve"> </w:t>
      </w:r>
      <w:r>
        <w:rPr>
          <w:rFonts w:ascii="Book Antiqua" w:hAnsi="Book Antiqua" w:cs="Times New Roman"/>
          <w:shd w:val="clear" w:color="auto" w:fill="FCFCFC"/>
        </w:rPr>
        <w:t>d</w:t>
      </w:r>
      <w:r w:rsidR="00647898" w:rsidRPr="00647898">
        <w:rPr>
          <w:rFonts w:ascii="Book Antiqua" w:hAnsi="Book Antiqua" w:cs="Times New Roman"/>
          <w:shd w:val="clear" w:color="auto" w:fill="FCFCFC"/>
        </w:rPr>
        <w:t>el 3</w:t>
      </w:r>
      <w:r w:rsidR="00C647AB">
        <w:rPr>
          <w:rFonts w:ascii="Book Antiqua" w:hAnsi="Book Antiqua" w:cs="Times New Roman"/>
          <w:shd w:val="clear" w:color="auto" w:fill="FCFCFC"/>
        </w:rPr>
        <w:t>1</w:t>
      </w:r>
      <w:r w:rsidR="00647898" w:rsidRPr="00647898">
        <w:rPr>
          <w:rFonts w:ascii="Book Antiqua" w:hAnsi="Book Antiqua" w:cs="Times New Roman"/>
          <w:shd w:val="clear" w:color="auto" w:fill="FCFCFC"/>
        </w:rPr>
        <w:t xml:space="preserve"> de diciembre día </w:t>
      </w:r>
      <w:r w:rsidR="0045410E">
        <w:rPr>
          <w:rFonts w:ascii="Book Antiqua" w:hAnsi="Book Antiqua" w:cs="Times New Roman"/>
          <w:shd w:val="clear" w:color="auto" w:fill="FCFCFC"/>
        </w:rPr>
        <w:t>d</w:t>
      </w:r>
      <w:r w:rsidR="00647898" w:rsidRPr="00647898">
        <w:rPr>
          <w:rFonts w:ascii="Book Antiqua" w:hAnsi="Book Antiqua" w:cs="Times New Roman"/>
          <w:shd w:val="clear" w:color="auto" w:fill="FCFCFC"/>
        </w:rPr>
        <w:t xml:space="preserve">el </w:t>
      </w:r>
      <w:proofErr w:type="spellStart"/>
      <w:r w:rsidR="00647898" w:rsidRPr="00647898">
        <w:rPr>
          <w:rFonts w:ascii="Book Antiqua" w:hAnsi="Book Antiqua" w:cs="Times New Roman"/>
          <w:shd w:val="clear" w:color="auto" w:fill="FCFCFC"/>
        </w:rPr>
        <w:t>Baxal</w:t>
      </w:r>
      <w:proofErr w:type="spellEnd"/>
      <w:r w:rsidR="00647898" w:rsidRPr="00647898">
        <w:rPr>
          <w:rFonts w:ascii="Book Antiqua" w:hAnsi="Book Antiqua" w:cs="Times New Roman"/>
          <w:shd w:val="clear" w:color="auto" w:fill="FCFCFC"/>
        </w:rPr>
        <w:t xml:space="preserve"> Toro de la Fiesta Patronal. </w:t>
      </w:r>
    </w:p>
    <w:p w:rsidR="00647898" w:rsidRPr="00647898" w:rsidRDefault="0064789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</w:p>
    <w:p w:rsidR="00647898" w:rsidRPr="00647898" w:rsidRDefault="0064789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  <w:r w:rsidRPr="00647898">
        <w:rPr>
          <w:rFonts w:ascii="Book Antiqua" w:hAnsi="Book Antiqua" w:cs="Times New Roman"/>
          <w:shd w:val="clear" w:color="auto" w:fill="FCFCFC"/>
        </w:rPr>
        <w:tab/>
      </w:r>
      <w:proofErr w:type="gramStart"/>
      <w:r w:rsidRPr="00647898">
        <w:rPr>
          <w:rFonts w:ascii="Book Antiqua" w:hAnsi="Book Antiqua" w:cs="Times New Roman"/>
          <w:shd w:val="clear" w:color="auto" w:fill="FCFCFC"/>
        </w:rPr>
        <w:t xml:space="preserve">El  </w:t>
      </w:r>
      <w:r w:rsidR="00C55638">
        <w:rPr>
          <w:rFonts w:ascii="Book Antiqua" w:hAnsi="Book Antiqua" w:cs="Times New Roman"/>
          <w:shd w:val="clear" w:color="auto" w:fill="FCFCFC"/>
        </w:rPr>
        <w:t>ruedo</w:t>
      </w:r>
      <w:proofErr w:type="gramEnd"/>
      <w:r w:rsidRPr="00647898">
        <w:rPr>
          <w:rFonts w:ascii="Book Antiqua" w:hAnsi="Book Antiqua" w:cs="Times New Roman"/>
          <w:shd w:val="clear" w:color="auto" w:fill="FCFCFC"/>
        </w:rPr>
        <w:t xml:space="preserve"> de </w:t>
      </w:r>
      <w:proofErr w:type="spellStart"/>
      <w:r w:rsidRPr="00647898">
        <w:rPr>
          <w:rFonts w:ascii="Book Antiqua" w:hAnsi="Book Antiqua" w:cs="Times New Roman"/>
          <w:shd w:val="clear" w:color="auto" w:fill="FCFCFC"/>
        </w:rPr>
        <w:t>Tizimín</w:t>
      </w:r>
      <w:proofErr w:type="spellEnd"/>
      <w:r w:rsidRPr="00647898">
        <w:rPr>
          <w:rFonts w:ascii="Book Antiqua" w:hAnsi="Book Antiqua" w:cs="Times New Roman"/>
          <w:shd w:val="clear" w:color="auto" w:fill="FCFCFC"/>
        </w:rPr>
        <w:t xml:space="preserve"> no solo reúne   eventos  </w:t>
      </w:r>
      <w:r w:rsidR="00C55638">
        <w:rPr>
          <w:rFonts w:ascii="Book Antiqua" w:hAnsi="Book Antiqua" w:cs="Times New Roman"/>
          <w:shd w:val="clear" w:color="auto" w:fill="FCFCFC"/>
        </w:rPr>
        <w:t>taurinos</w:t>
      </w:r>
      <w:r w:rsidRPr="00647898">
        <w:rPr>
          <w:rFonts w:ascii="Book Antiqua" w:hAnsi="Book Antiqua" w:cs="Times New Roman"/>
          <w:shd w:val="clear" w:color="auto" w:fill="FCFCFC"/>
        </w:rPr>
        <w:t xml:space="preserve"> sino también culturas y tradiciones familiares a lo largo de los años, con la difusión que se l</w:t>
      </w:r>
      <w:r w:rsidR="00C55638">
        <w:rPr>
          <w:rFonts w:ascii="Book Antiqua" w:hAnsi="Book Antiqua" w:cs="Times New Roman"/>
          <w:shd w:val="clear" w:color="auto" w:fill="FCFCFC"/>
        </w:rPr>
        <w:t>e</w:t>
      </w:r>
      <w:r w:rsidRPr="00647898">
        <w:rPr>
          <w:rFonts w:ascii="Book Antiqua" w:hAnsi="Book Antiqua" w:cs="Times New Roman"/>
          <w:shd w:val="clear" w:color="auto" w:fill="FCFCFC"/>
        </w:rPr>
        <w:t xml:space="preserve"> hace a la Tradicional fiesta de la Epifanía del Señor o de los Santos Reyes, el municipio de </w:t>
      </w:r>
      <w:proofErr w:type="spellStart"/>
      <w:r w:rsidRPr="00647898">
        <w:rPr>
          <w:rFonts w:ascii="Book Antiqua" w:hAnsi="Book Antiqua" w:cs="Times New Roman"/>
          <w:shd w:val="clear" w:color="auto" w:fill="FCFCFC"/>
        </w:rPr>
        <w:t>Tizimín</w:t>
      </w:r>
      <w:proofErr w:type="spellEnd"/>
      <w:r w:rsidRPr="00647898">
        <w:rPr>
          <w:rFonts w:ascii="Book Antiqua" w:hAnsi="Book Antiqua" w:cs="Times New Roman"/>
          <w:shd w:val="clear" w:color="auto" w:fill="FCFCFC"/>
        </w:rPr>
        <w:t xml:space="preserve">  ha logrado que la tradición de la construcción del coso taurino no se extinga, sin embargo,  se requiere que </w:t>
      </w:r>
      <w:r w:rsidR="00C55638">
        <w:rPr>
          <w:rFonts w:ascii="Book Antiqua" w:hAnsi="Book Antiqua" w:cs="Times New Roman"/>
          <w:shd w:val="clear" w:color="auto" w:fill="FCFCFC"/>
        </w:rPr>
        <w:t xml:space="preserve">más gente siga poniendo los ojos en Yucatán y conozcan tan importante tradición </w:t>
      </w:r>
      <w:r w:rsidRPr="00647898">
        <w:rPr>
          <w:rFonts w:ascii="Book Antiqua" w:hAnsi="Book Antiqua" w:cs="Times New Roman"/>
          <w:shd w:val="clear" w:color="auto" w:fill="FCFCFC"/>
        </w:rPr>
        <w:t xml:space="preserve">emblemática del oriente del Estado. </w:t>
      </w:r>
    </w:p>
    <w:p w:rsidR="00647898" w:rsidRPr="00647898" w:rsidRDefault="0064789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</w:p>
    <w:p w:rsidR="00647898" w:rsidRDefault="0064789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  <w:r w:rsidRPr="00647898">
        <w:rPr>
          <w:rFonts w:ascii="Book Antiqua" w:hAnsi="Book Antiqua" w:cs="Times New Roman"/>
          <w:shd w:val="clear" w:color="auto" w:fill="FCFCFC"/>
        </w:rPr>
        <w:tab/>
        <w:t xml:space="preserve">La salvaguarda del patrimonio cultural inmaterial o </w:t>
      </w:r>
      <w:proofErr w:type="gramStart"/>
      <w:r w:rsidRPr="00647898">
        <w:rPr>
          <w:rFonts w:ascii="Book Antiqua" w:hAnsi="Book Antiqua" w:cs="Times New Roman"/>
          <w:shd w:val="clear" w:color="auto" w:fill="FCFCFC"/>
        </w:rPr>
        <w:t xml:space="preserve">intangible,   </w:t>
      </w:r>
      <w:proofErr w:type="gramEnd"/>
      <w:r w:rsidRPr="00647898">
        <w:rPr>
          <w:rFonts w:ascii="Book Antiqua" w:hAnsi="Book Antiqua" w:cs="Times New Roman"/>
          <w:shd w:val="clear" w:color="auto" w:fill="FCFCFC"/>
        </w:rPr>
        <w:t xml:space="preserve">como lo es el coso taurino, es  de vital importancia para la generación del desarrollo económico de la región.  </w:t>
      </w:r>
    </w:p>
    <w:p w:rsidR="00C55638" w:rsidRDefault="00C5563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</w:p>
    <w:p w:rsidR="00C55638" w:rsidRDefault="00C5563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  <w:r>
        <w:rPr>
          <w:rFonts w:ascii="Book Antiqua" w:hAnsi="Book Antiqua" w:cs="Times New Roman"/>
          <w:shd w:val="clear" w:color="auto" w:fill="FCFCFC"/>
        </w:rPr>
        <w:tab/>
      </w:r>
    </w:p>
    <w:p w:rsidR="00C55638" w:rsidRDefault="00C55638" w:rsidP="0064789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</w:p>
    <w:p w:rsidR="00C55638" w:rsidRDefault="00C55638" w:rsidP="00C55638">
      <w:pPr>
        <w:pStyle w:val="Textoindependiente"/>
        <w:ind w:right="14"/>
        <w:jc w:val="both"/>
        <w:rPr>
          <w:rFonts w:ascii="Book Antiqua" w:hAnsi="Book Antiqua" w:cs="Times New Roman"/>
          <w:shd w:val="clear" w:color="auto" w:fill="FCFCFC"/>
        </w:rPr>
      </w:pPr>
    </w:p>
    <w:p w:rsidR="00C647AB" w:rsidRDefault="00C55638" w:rsidP="00C55638">
      <w:pPr>
        <w:pStyle w:val="Textoindependiente"/>
        <w:ind w:right="14"/>
        <w:jc w:val="both"/>
        <w:rPr>
          <w:rFonts w:ascii="Book Antiqua" w:hAnsi="Book Antiqua" w:cs="Times New Roman"/>
          <w:b/>
          <w:i/>
          <w:shd w:val="clear" w:color="auto" w:fill="FCFCFC"/>
        </w:rPr>
      </w:pPr>
      <w:r w:rsidRPr="00C55638">
        <w:rPr>
          <w:rFonts w:ascii="Book Antiqua" w:hAnsi="Book Antiqua" w:cs="Times New Roman"/>
          <w:b/>
          <w:i/>
          <w:shd w:val="clear" w:color="auto" w:fill="FCFCFC"/>
        </w:rPr>
        <w:t>Las tradiciones son el principio del crecimiento positivo de una sociedad, ayudemos a conservarlas.</w:t>
      </w:r>
    </w:p>
    <w:p w:rsidR="00C55638" w:rsidRPr="00C55638" w:rsidRDefault="00C55638" w:rsidP="00C55638">
      <w:pPr>
        <w:pStyle w:val="Textoindependiente"/>
        <w:ind w:right="14"/>
        <w:jc w:val="center"/>
        <w:rPr>
          <w:rFonts w:ascii="Book Antiqua" w:hAnsi="Book Antiqua" w:cs="Times New Roman"/>
          <w:b/>
          <w:i/>
          <w:shd w:val="clear" w:color="auto" w:fill="FCFCFC"/>
        </w:rPr>
      </w:pPr>
    </w:p>
    <w:p w:rsidR="00647898" w:rsidRPr="00647898" w:rsidRDefault="00647898" w:rsidP="00647898">
      <w:pPr>
        <w:pStyle w:val="Textoindependiente"/>
        <w:spacing w:before="92"/>
        <w:ind w:right="14"/>
        <w:jc w:val="both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En virtud de lo anterior y en ejercicio de la facultad que nos confiere el artículo 35, fracción I, de la Constitución Política del Estado de Yucatán, sometemos a la consideración de esta Soberanía, la siguiente iniciativa de:</w:t>
      </w:r>
    </w:p>
    <w:p w:rsidR="00647898" w:rsidRPr="00647898" w:rsidRDefault="00647898" w:rsidP="00647898">
      <w:pPr>
        <w:pStyle w:val="Textoindependiente"/>
        <w:spacing w:before="92"/>
        <w:ind w:right="14"/>
        <w:jc w:val="both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spacing w:before="92"/>
        <w:ind w:right="14"/>
        <w:jc w:val="both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spacing w:before="92"/>
        <w:ind w:left="0" w:right="14"/>
        <w:jc w:val="center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 xml:space="preserve">Decreto por el que se declara al Coso Taurino de </w:t>
      </w:r>
      <w:proofErr w:type="spellStart"/>
      <w:r w:rsidRPr="00647898">
        <w:rPr>
          <w:rFonts w:ascii="Book Antiqua" w:hAnsi="Book Antiqua" w:cs="Times New Roman"/>
        </w:rPr>
        <w:t>Tizimín</w:t>
      </w:r>
      <w:proofErr w:type="spellEnd"/>
      <w:r w:rsidRPr="00647898">
        <w:rPr>
          <w:rFonts w:ascii="Book Antiqua" w:hAnsi="Book Antiqua" w:cs="Times New Roman"/>
        </w:rPr>
        <w:t>, Patrimonio Cultural Intangible del Estado de Yucatán</w:t>
      </w:r>
    </w:p>
    <w:p w:rsidR="00647898" w:rsidRPr="00647898" w:rsidRDefault="00647898" w:rsidP="00647898">
      <w:pPr>
        <w:pStyle w:val="Textoindependiente"/>
        <w:spacing w:before="5"/>
        <w:ind w:right="14"/>
        <w:rPr>
          <w:rFonts w:ascii="Book Antiqua" w:hAnsi="Book Antiqua" w:cs="Times New Roman"/>
          <w:b/>
        </w:rPr>
      </w:pPr>
      <w:bookmarkStart w:id="0" w:name="_GoBack"/>
      <w:bookmarkEnd w:id="0"/>
    </w:p>
    <w:p w:rsidR="00647898" w:rsidRPr="00647898" w:rsidRDefault="00647898" w:rsidP="00647898">
      <w:pPr>
        <w:ind w:right="14"/>
        <w:rPr>
          <w:rFonts w:ascii="Book Antiqua" w:hAnsi="Book Antiqua" w:cs="Times New Roman"/>
          <w:b/>
          <w:sz w:val="24"/>
          <w:szCs w:val="24"/>
        </w:rPr>
      </w:pPr>
      <w:r w:rsidRPr="00647898">
        <w:rPr>
          <w:rFonts w:ascii="Book Antiqua" w:hAnsi="Book Antiqua" w:cs="Times New Roman"/>
          <w:b/>
          <w:sz w:val="24"/>
          <w:szCs w:val="24"/>
        </w:rPr>
        <w:t>Artículo único</w:t>
      </w:r>
    </w:p>
    <w:p w:rsidR="00647898" w:rsidRPr="00647898" w:rsidRDefault="00647898" w:rsidP="00647898">
      <w:pPr>
        <w:pStyle w:val="Textoindependiente"/>
        <w:spacing w:before="3"/>
        <w:ind w:right="14"/>
        <w:rPr>
          <w:rFonts w:ascii="Book Antiqua" w:hAnsi="Book Antiqua" w:cs="Times New Roman"/>
          <w:b/>
        </w:rPr>
      </w:pP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 xml:space="preserve">Se declara al Coso Taurino de </w:t>
      </w:r>
      <w:proofErr w:type="spellStart"/>
      <w:proofErr w:type="gramStart"/>
      <w:r w:rsidRPr="00647898">
        <w:rPr>
          <w:rFonts w:ascii="Book Antiqua" w:hAnsi="Book Antiqua" w:cs="Times New Roman"/>
        </w:rPr>
        <w:t>Tizímin</w:t>
      </w:r>
      <w:proofErr w:type="spellEnd"/>
      <w:r w:rsidRPr="00647898">
        <w:rPr>
          <w:rFonts w:ascii="Book Antiqua" w:hAnsi="Book Antiqua" w:cs="Times New Roman"/>
        </w:rPr>
        <w:t>,  Patrimonio</w:t>
      </w:r>
      <w:proofErr w:type="gramEnd"/>
      <w:r w:rsidRPr="00647898">
        <w:rPr>
          <w:rFonts w:ascii="Book Antiqua" w:hAnsi="Book Antiqua" w:cs="Times New Roman"/>
        </w:rPr>
        <w:t xml:space="preserve"> Cultural Intangible del Estado de Yucatán.</w:t>
      </w: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spacing w:before="10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ind w:left="0" w:right="14"/>
        <w:jc w:val="center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Artículo transitorio</w:t>
      </w:r>
    </w:p>
    <w:p w:rsidR="00647898" w:rsidRPr="00647898" w:rsidRDefault="00647898" w:rsidP="00647898">
      <w:pPr>
        <w:pStyle w:val="Textoindependiente"/>
        <w:spacing w:before="2"/>
        <w:ind w:right="14"/>
        <w:rPr>
          <w:rFonts w:ascii="Book Antiqua" w:hAnsi="Book Antiqua" w:cs="Times New Roman"/>
          <w:b/>
        </w:rPr>
      </w:pPr>
    </w:p>
    <w:p w:rsidR="00647898" w:rsidRPr="00647898" w:rsidRDefault="00647898" w:rsidP="00647898">
      <w:pPr>
        <w:ind w:right="14"/>
        <w:rPr>
          <w:rFonts w:ascii="Book Antiqua" w:hAnsi="Book Antiqua" w:cs="Times New Roman"/>
          <w:b/>
          <w:sz w:val="24"/>
          <w:szCs w:val="24"/>
        </w:rPr>
      </w:pPr>
      <w:r w:rsidRPr="00647898">
        <w:rPr>
          <w:rFonts w:ascii="Book Antiqua" w:hAnsi="Book Antiqua" w:cs="Times New Roman"/>
          <w:b/>
          <w:sz w:val="24"/>
          <w:szCs w:val="24"/>
        </w:rPr>
        <w:t>Único. Entrada en vigor</w:t>
      </w:r>
    </w:p>
    <w:p w:rsidR="00647898" w:rsidRPr="00647898" w:rsidRDefault="00647898" w:rsidP="00647898">
      <w:pPr>
        <w:pStyle w:val="Textoindependiente"/>
        <w:spacing w:before="5"/>
        <w:ind w:right="14"/>
        <w:rPr>
          <w:rFonts w:ascii="Book Antiqua" w:hAnsi="Book Antiqua" w:cs="Times New Roman"/>
          <w:b/>
        </w:rPr>
      </w:pP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Este decreto entrará en vigor el día siguiente al de su publicación en el Diario Oficial del Gobierno del Estado.</w:t>
      </w: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extoindependiente"/>
        <w:ind w:right="14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spacing w:before="233"/>
        <w:ind w:left="0" w:right="14"/>
        <w:jc w:val="left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PROTESTO LO NECESARIO EN LA CIUDAD DE MÉRIDA, YUCATÁN, A LOS VEINT</w:t>
      </w:r>
      <w:r w:rsidR="00C55638">
        <w:rPr>
          <w:rFonts w:ascii="Book Antiqua" w:hAnsi="Book Antiqua" w:cs="Times New Roman"/>
        </w:rPr>
        <w:t>ISIETE</w:t>
      </w:r>
      <w:r w:rsidRPr="00647898">
        <w:rPr>
          <w:rFonts w:ascii="Book Antiqua" w:hAnsi="Book Antiqua" w:cs="Times New Roman"/>
        </w:rPr>
        <w:t xml:space="preserve"> DÍAS DEL MES DE NOVIEMBRE DEL AÑO DOS MIL DIECINUEVE.</w:t>
      </w:r>
    </w:p>
    <w:p w:rsidR="00647898" w:rsidRPr="00647898" w:rsidRDefault="00647898" w:rsidP="00647898">
      <w:pPr>
        <w:pStyle w:val="Ttulo1"/>
        <w:spacing w:before="233"/>
        <w:ind w:left="0" w:right="14"/>
        <w:jc w:val="left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spacing w:before="233"/>
        <w:ind w:left="0" w:right="14"/>
        <w:jc w:val="left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spacing w:before="233"/>
        <w:ind w:left="0" w:right="14"/>
        <w:jc w:val="left"/>
        <w:rPr>
          <w:rFonts w:ascii="Book Antiqua" w:hAnsi="Book Antiqua" w:cs="Times New Roman"/>
        </w:rPr>
      </w:pPr>
    </w:p>
    <w:p w:rsidR="00647898" w:rsidRPr="00647898" w:rsidRDefault="00647898" w:rsidP="00647898">
      <w:pPr>
        <w:pStyle w:val="Ttulo1"/>
        <w:spacing w:before="233"/>
        <w:ind w:left="0" w:right="14"/>
        <w:jc w:val="center"/>
        <w:rPr>
          <w:rFonts w:ascii="Book Antiqua" w:hAnsi="Book Antiqua" w:cs="Times New Roman"/>
        </w:rPr>
      </w:pPr>
      <w:r w:rsidRPr="00647898">
        <w:rPr>
          <w:rFonts w:ascii="Book Antiqua" w:hAnsi="Book Antiqua" w:cs="Times New Roman"/>
        </w:rPr>
        <w:t>MIRTHEA DEL ROSARIO ARJONA MARTÍN.</w:t>
      </w:r>
    </w:p>
    <w:p w:rsidR="00A418BF" w:rsidRPr="00647898" w:rsidRDefault="00A418BF" w:rsidP="00647898">
      <w:pPr>
        <w:rPr>
          <w:rFonts w:ascii="Book Antiqua" w:hAnsi="Book Antiqua" w:cs="Times New Roman"/>
          <w:sz w:val="24"/>
          <w:szCs w:val="24"/>
        </w:rPr>
      </w:pPr>
    </w:p>
    <w:sectPr w:rsidR="00A418BF" w:rsidRPr="00647898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58" w:rsidRDefault="004B5C58" w:rsidP="00647898">
      <w:r>
        <w:separator/>
      </w:r>
    </w:p>
  </w:endnote>
  <w:endnote w:type="continuationSeparator" w:id="0">
    <w:p w:rsidR="004B5C58" w:rsidRDefault="004B5C58" w:rsidP="0064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94003"/>
      <w:docPartObj>
        <w:docPartGallery w:val="Page Numbers (Bottom of Page)"/>
        <w:docPartUnique/>
      </w:docPartObj>
    </w:sdtPr>
    <w:sdtEndPr/>
    <w:sdtContent>
      <w:p w:rsidR="00647898" w:rsidRDefault="0064789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FA">
          <w:rPr>
            <w:noProof/>
          </w:rPr>
          <w:t>3</w:t>
        </w:r>
        <w:r>
          <w:fldChar w:fldCharType="end"/>
        </w:r>
      </w:p>
    </w:sdtContent>
  </w:sdt>
  <w:p w:rsidR="00647898" w:rsidRDefault="00647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58" w:rsidRDefault="004B5C58" w:rsidP="00647898">
      <w:r>
        <w:separator/>
      </w:r>
    </w:p>
  </w:footnote>
  <w:footnote w:type="continuationSeparator" w:id="0">
    <w:p w:rsidR="004B5C58" w:rsidRDefault="004B5C58" w:rsidP="00647898">
      <w:r>
        <w:continuationSeparator/>
      </w:r>
    </w:p>
  </w:footnote>
  <w:footnote w:id="1">
    <w:p w:rsidR="00647898" w:rsidRPr="00E036BE" w:rsidRDefault="00647898" w:rsidP="0064789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https://es.unesco.org/themes/patrimonio-cultural-inmaterial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98"/>
    <w:rsid w:val="001904E7"/>
    <w:rsid w:val="0045410E"/>
    <w:rsid w:val="004B5C58"/>
    <w:rsid w:val="00647898"/>
    <w:rsid w:val="00824D7B"/>
    <w:rsid w:val="00A418BF"/>
    <w:rsid w:val="00B824FA"/>
    <w:rsid w:val="00C55638"/>
    <w:rsid w:val="00C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AF05-1DC1-4D7F-B098-96A62E2D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647898"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47898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4789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7898"/>
    <w:rPr>
      <w:rFonts w:ascii="Arial" w:eastAsia="Arial" w:hAnsi="Arial" w:cs="Arial"/>
      <w:sz w:val="24"/>
      <w:szCs w:val="24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64789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78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789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789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478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89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478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89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7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7A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culture/ich/index.php?lg=es&amp;pg=00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esco.org/culture/ich/index.php?lg=es&amp;pg=0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unesco.org/themes/patrimonio-cultural-inmater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Cubiculo6</dc:creator>
  <cp:keywords/>
  <dc:description/>
  <cp:lastModifiedBy>Mildred Manzanilla</cp:lastModifiedBy>
  <cp:revision>2</cp:revision>
  <cp:lastPrinted>2019-11-26T17:21:00Z</cp:lastPrinted>
  <dcterms:created xsi:type="dcterms:W3CDTF">2019-12-01T19:30:00Z</dcterms:created>
  <dcterms:modified xsi:type="dcterms:W3CDTF">2019-12-01T19:30:00Z</dcterms:modified>
</cp:coreProperties>
</file>